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1B63578" w:rsidR="00A160B2" w:rsidRDefault="00CE4DD2" w:rsidP="006C3150">
            <w:pPr>
              <w:pStyle w:val="Infotext"/>
              <w:rPr>
                <w:rFonts w:cs="Arial"/>
              </w:rPr>
            </w:pPr>
            <w:r>
              <w:rPr>
                <w:rFonts w:cs="Arial"/>
              </w:rPr>
              <w:t>4 March 202</w:t>
            </w:r>
            <w:r w:rsidR="00D33D75">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5FE587EC" w:rsidR="00A160B2" w:rsidRDefault="000551DE" w:rsidP="00CE4DD2">
            <w:pPr>
              <w:pStyle w:val="Infotext"/>
              <w:rPr>
                <w:rFonts w:cs="Arial"/>
              </w:rPr>
            </w:pPr>
            <w:r>
              <w:rPr>
                <w:rFonts w:cs="Arial"/>
              </w:rPr>
              <w:t>Pensions Administration Update to 31 December 2020</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65A16444" w14:textId="0FAC6E3B" w:rsidR="00A160B2" w:rsidRPr="00F92398" w:rsidRDefault="00A160B2" w:rsidP="00B906E8">
            <w:pPr>
              <w:pStyle w:val="Infotext"/>
              <w:rPr>
                <w:rFonts w:ascii="Arial Black" w:hAnsi="Arial Black" w:cs="Arial"/>
              </w:rPr>
            </w:pPr>
            <w:r>
              <w:rPr>
                <w:rFonts w:ascii="Arial Black" w:hAnsi="Arial Black" w:cs="Arial"/>
              </w:rPr>
              <w:t>Wards affected:</w:t>
            </w:r>
          </w:p>
        </w:tc>
        <w:tc>
          <w:tcPr>
            <w:tcW w:w="4912" w:type="dxa"/>
          </w:tcPr>
          <w:p w14:paraId="6CD568AC" w14:textId="1D6272F6" w:rsidR="00A160B2" w:rsidRPr="00B906E8" w:rsidRDefault="00CE4DD2" w:rsidP="006C3150">
            <w:pPr>
              <w:pStyle w:val="Infotext"/>
              <w:rPr>
                <w:bCs/>
              </w:rPr>
            </w:pPr>
            <w:r w:rsidRPr="00B906E8">
              <w:rPr>
                <w:rFonts w:cs="Arial"/>
                <w:bCs/>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50459144" w14:textId="77777777" w:rsidR="00A160B2" w:rsidRDefault="000551DE" w:rsidP="006C3150">
            <w:pPr>
              <w:pStyle w:val="Infotext"/>
            </w:pPr>
            <w:r>
              <w:t>Appendix 1: Pension Administration Performance Monitoring to 31 December 2020</w:t>
            </w:r>
          </w:p>
          <w:p w14:paraId="4C232B02" w14:textId="650D74C5" w:rsidR="00B906E8" w:rsidRDefault="00B906E8"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4729A13C" w:rsidR="00A160B2" w:rsidRDefault="000551DE" w:rsidP="00A160B2">
            <w:r w:rsidRPr="005F307D">
              <w:rPr>
                <w:szCs w:val="24"/>
              </w:rPr>
              <w:t>This report summarises the performance of the Pensions Administration team for the quarter ended</w:t>
            </w:r>
            <w:r>
              <w:rPr>
                <w:szCs w:val="24"/>
              </w:rPr>
              <w:t xml:space="preserve"> 31 December 2020</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DF71807" w:rsidR="00A160B2" w:rsidRDefault="00A360D6" w:rsidP="00A160B2">
            <w:r>
              <w:t xml:space="preserve">The Board is requested to </w:t>
            </w:r>
            <w:r w:rsidR="000551DE">
              <w:t>note the report</w:t>
            </w:r>
            <w:r w:rsidR="0075614B">
              <w:t xml:space="preserve">. </w:t>
            </w:r>
          </w:p>
        </w:tc>
      </w:tr>
    </w:tbl>
    <w:p w14:paraId="53DC7DE2" w14:textId="47100225" w:rsidR="002A2389" w:rsidRDefault="002A2389" w:rsidP="00A160B2">
      <w:pPr>
        <w:pStyle w:val="Heading2"/>
      </w:pPr>
      <w:r>
        <w:t>Section 2 – Report</w:t>
      </w:r>
    </w:p>
    <w:p w14:paraId="4C2F11F1" w14:textId="77777777" w:rsidR="00B906E8" w:rsidRPr="00B906E8" w:rsidRDefault="00B906E8" w:rsidP="00B906E8"/>
    <w:p w14:paraId="46EC2B51" w14:textId="6D8B866D" w:rsidR="000551DE" w:rsidRDefault="000551DE" w:rsidP="000551DE">
      <w:pPr>
        <w:numPr>
          <w:ilvl w:val="0"/>
          <w:numId w:val="16"/>
        </w:numPr>
        <w:jc w:val="both"/>
      </w:pPr>
      <w:r w:rsidRPr="009248D8">
        <w:t xml:space="preserve">Monitoring the service performance of the Fund is a key responsibility of the Board. The Board has been monitoring comparative pensions administration indicators since June 2017.  </w:t>
      </w:r>
      <w:r>
        <w:t>This report provides information on performance to 31 December 2020.</w:t>
      </w:r>
    </w:p>
    <w:p w14:paraId="51670173" w14:textId="77777777" w:rsidR="000551DE" w:rsidRDefault="000551DE" w:rsidP="000551DE">
      <w:pPr>
        <w:ind w:left="720"/>
        <w:jc w:val="both"/>
      </w:pPr>
    </w:p>
    <w:p w14:paraId="48D46F27" w14:textId="1E0D9F92" w:rsidR="000551DE" w:rsidRDefault="000551DE" w:rsidP="000551DE">
      <w:pPr>
        <w:numPr>
          <w:ilvl w:val="0"/>
          <w:numId w:val="16"/>
        </w:numPr>
        <w:jc w:val="both"/>
      </w:pPr>
      <w:r>
        <w:t>The Pensions administration performance statistics measured against the national benchmarks for the Quarter to 31 December 2020 are set out in Appendix 1.</w:t>
      </w:r>
      <w:r w:rsidR="005A293A">
        <w:t xml:space="preserve"> </w:t>
      </w:r>
      <w:r>
        <w:t>The Board is invited to comment on this performance.</w:t>
      </w:r>
    </w:p>
    <w:p w14:paraId="7A5F4F91" w14:textId="77777777" w:rsidR="000551DE" w:rsidRDefault="000551DE" w:rsidP="000551DE">
      <w:pPr>
        <w:pStyle w:val="ListParagraph"/>
      </w:pPr>
    </w:p>
    <w:p w14:paraId="0AE587B7" w14:textId="6EA91D47" w:rsidR="000551DE" w:rsidRDefault="000551DE" w:rsidP="000551DE">
      <w:pPr>
        <w:numPr>
          <w:ilvl w:val="0"/>
          <w:numId w:val="16"/>
        </w:numPr>
        <w:jc w:val="both"/>
      </w:pPr>
      <w:r>
        <w:t>Table 1 below sets out the membership of the Pension Fund in the current year to 31 December 2020, with previous years to 31 March as a comparator. The percentage of active members in the fund is one indicator of the maturity of the fund.</w:t>
      </w:r>
    </w:p>
    <w:p w14:paraId="22943200" w14:textId="77777777" w:rsidR="000551DE" w:rsidRDefault="000551DE" w:rsidP="000551DE">
      <w:pPr>
        <w:jc w:val="both"/>
      </w:pPr>
    </w:p>
    <w:tbl>
      <w:tblPr>
        <w:tblW w:w="0" w:type="auto"/>
        <w:tblInd w:w="381" w:type="dxa"/>
        <w:tblLook w:val="04A0" w:firstRow="1" w:lastRow="0" w:firstColumn="1" w:lastColumn="0" w:noHBand="0" w:noVBand="1"/>
      </w:tblPr>
      <w:tblGrid>
        <w:gridCol w:w="1318"/>
        <w:gridCol w:w="1273"/>
        <w:gridCol w:w="1418"/>
        <w:gridCol w:w="1524"/>
        <w:gridCol w:w="1946"/>
        <w:gridCol w:w="222"/>
        <w:gridCol w:w="222"/>
      </w:tblGrid>
      <w:tr w:rsidR="000551DE" w14:paraId="38C30867" w14:textId="77777777" w:rsidTr="00FC33FC">
        <w:trPr>
          <w:trHeight w:val="285"/>
        </w:trPr>
        <w:tc>
          <w:tcPr>
            <w:tcW w:w="7479" w:type="dxa"/>
            <w:gridSpan w:val="5"/>
            <w:tcBorders>
              <w:top w:val="single" w:sz="4" w:space="0" w:color="auto"/>
              <w:left w:val="single" w:sz="4" w:space="0" w:color="auto"/>
              <w:bottom w:val="single" w:sz="4" w:space="0" w:color="auto"/>
              <w:right w:val="single" w:sz="4" w:space="0" w:color="auto"/>
            </w:tcBorders>
            <w:hideMark/>
          </w:tcPr>
          <w:p w14:paraId="2A4EFE85" w14:textId="1BDA95EA" w:rsidR="000551DE" w:rsidRDefault="000551DE" w:rsidP="00FC33FC">
            <w:r>
              <w:t>Table 1                Pension Members to 3</w:t>
            </w:r>
            <w:r w:rsidR="00C32724">
              <w:t>1</w:t>
            </w:r>
            <w:r>
              <w:t xml:space="preserve"> </w:t>
            </w:r>
            <w:r w:rsidR="00C32724">
              <w:t>December</w:t>
            </w:r>
            <w:r>
              <w:t xml:space="preserve"> 2020</w:t>
            </w:r>
          </w:p>
        </w:tc>
        <w:tc>
          <w:tcPr>
            <w:tcW w:w="0" w:type="auto"/>
          </w:tcPr>
          <w:p w14:paraId="338709F6" w14:textId="77777777" w:rsidR="000551DE" w:rsidRDefault="000551DE" w:rsidP="00FC33FC"/>
        </w:tc>
        <w:tc>
          <w:tcPr>
            <w:tcW w:w="0" w:type="auto"/>
          </w:tcPr>
          <w:p w14:paraId="5E95ED72" w14:textId="77777777" w:rsidR="000551DE" w:rsidRDefault="000551DE" w:rsidP="00FC33FC"/>
        </w:tc>
      </w:tr>
      <w:tr w:rsidR="000551DE" w14:paraId="7E828D5D" w14:textId="77777777" w:rsidTr="00FC33FC">
        <w:trPr>
          <w:trHeight w:val="285"/>
        </w:trPr>
        <w:tc>
          <w:tcPr>
            <w:tcW w:w="1318" w:type="dxa"/>
            <w:tcBorders>
              <w:top w:val="single" w:sz="4" w:space="0" w:color="auto"/>
              <w:left w:val="single" w:sz="4" w:space="0" w:color="auto"/>
              <w:bottom w:val="single" w:sz="4" w:space="0" w:color="auto"/>
              <w:right w:val="nil"/>
            </w:tcBorders>
            <w:hideMark/>
          </w:tcPr>
          <w:p w14:paraId="2D263707" w14:textId="77777777" w:rsidR="000551DE" w:rsidRDefault="000551DE" w:rsidP="00FC33FC"/>
        </w:tc>
        <w:tc>
          <w:tcPr>
            <w:tcW w:w="1273" w:type="dxa"/>
            <w:tcBorders>
              <w:top w:val="single" w:sz="4" w:space="0" w:color="auto"/>
              <w:left w:val="single" w:sz="4" w:space="0" w:color="auto"/>
              <w:bottom w:val="single" w:sz="4" w:space="0" w:color="auto"/>
              <w:right w:val="single" w:sz="4" w:space="0" w:color="auto"/>
            </w:tcBorders>
            <w:hideMark/>
          </w:tcPr>
          <w:p w14:paraId="2E19D8B1" w14:textId="77777777" w:rsidR="000551DE" w:rsidRDefault="000551DE" w:rsidP="00FC33FC">
            <w:pPr>
              <w:jc w:val="center"/>
            </w:pPr>
            <w:r>
              <w:t>31 March 2018</w:t>
            </w:r>
          </w:p>
        </w:tc>
        <w:tc>
          <w:tcPr>
            <w:tcW w:w="1418" w:type="dxa"/>
            <w:tcBorders>
              <w:top w:val="single" w:sz="4" w:space="0" w:color="auto"/>
              <w:left w:val="nil"/>
              <w:bottom w:val="single" w:sz="4" w:space="0" w:color="auto"/>
              <w:right w:val="single" w:sz="4" w:space="0" w:color="auto"/>
            </w:tcBorders>
          </w:tcPr>
          <w:p w14:paraId="309ACD47" w14:textId="77777777" w:rsidR="000551DE" w:rsidRDefault="000551DE" w:rsidP="00FC33FC">
            <w:pPr>
              <w:jc w:val="center"/>
            </w:pPr>
            <w:r>
              <w:t>31 March 2019</w:t>
            </w:r>
          </w:p>
        </w:tc>
        <w:tc>
          <w:tcPr>
            <w:tcW w:w="1524" w:type="dxa"/>
            <w:tcBorders>
              <w:top w:val="single" w:sz="4" w:space="0" w:color="auto"/>
              <w:left w:val="nil"/>
              <w:bottom w:val="single" w:sz="4" w:space="0" w:color="auto"/>
              <w:right w:val="single" w:sz="4" w:space="0" w:color="auto"/>
            </w:tcBorders>
            <w:hideMark/>
          </w:tcPr>
          <w:p w14:paraId="3DC1E181" w14:textId="77777777" w:rsidR="000551DE" w:rsidRPr="005D34C4" w:rsidRDefault="000551DE" w:rsidP="00FC33FC">
            <w:pPr>
              <w:jc w:val="center"/>
            </w:pPr>
            <w:r w:rsidRPr="005D34C4">
              <w:t>31 March 2020</w:t>
            </w:r>
          </w:p>
        </w:tc>
        <w:tc>
          <w:tcPr>
            <w:tcW w:w="0" w:type="auto"/>
            <w:tcBorders>
              <w:top w:val="single" w:sz="4" w:space="0" w:color="auto"/>
              <w:left w:val="nil"/>
              <w:bottom w:val="single" w:sz="4" w:space="0" w:color="auto"/>
              <w:right w:val="single" w:sz="4" w:space="0" w:color="auto"/>
            </w:tcBorders>
            <w:hideMark/>
          </w:tcPr>
          <w:p w14:paraId="51F4DAFE" w14:textId="64B412B4" w:rsidR="000551DE" w:rsidRPr="005D34C4" w:rsidRDefault="000551DE" w:rsidP="00FC33FC">
            <w:pPr>
              <w:jc w:val="center"/>
            </w:pPr>
            <w:r w:rsidRPr="005D34C4">
              <w:t>3</w:t>
            </w:r>
            <w:r>
              <w:t>1 December</w:t>
            </w:r>
          </w:p>
          <w:p w14:paraId="398226E7" w14:textId="77777777" w:rsidR="000551DE" w:rsidRPr="005D34C4" w:rsidRDefault="000551DE" w:rsidP="00FC33FC">
            <w:pPr>
              <w:jc w:val="center"/>
            </w:pPr>
            <w:r w:rsidRPr="005D34C4">
              <w:t>2020</w:t>
            </w:r>
          </w:p>
        </w:tc>
        <w:tc>
          <w:tcPr>
            <w:tcW w:w="0" w:type="auto"/>
            <w:vAlign w:val="bottom"/>
          </w:tcPr>
          <w:p w14:paraId="511B4395" w14:textId="77777777" w:rsidR="000551DE" w:rsidRDefault="000551DE" w:rsidP="00FC33FC">
            <w:pPr>
              <w:jc w:val="right"/>
              <w:rPr>
                <w:rFonts w:cs="Arial"/>
                <w:color w:val="000000"/>
                <w:sz w:val="22"/>
                <w:szCs w:val="22"/>
              </w:rPr>
            </w:pPr>
          </w:p>
        </w:tc>
        <w:tc>
          <w:tcPr>
            <w:tcW w:w="0" w:type="auto"/>
            <w:vAlign w:val="bottom"/>
          </w:tcPr>
          <w:p w14:paraId="1DFC98E7" w14:textId="77777777" w:rsidR="000551DE" w:rsidRDefault="000551DE" w:rsidP="00FC33FC">
            <w:pPr>
              <w:jc w:val="right"/>
              <w:rPr>
                <w:rFonts w:cs="Arial"/>
                <w:color w:val="000000"/>
                <w:sz w:val="22"/>
                <w:szCs w:val="22"/>
              </w:rPr>
            </w:pPr>
          </w:p>
        </w:tc>
      </w:tr>
      <w:tr w:rsidR="000551DE" w14:paraId="767C9BC4" w14:textId="77777777" w:rsidTr="00FC33FC">
        <w:trPr>
          <w:trHeight w:val="285"/>
        </w:trPr>
        <w:tc>
          <w:tcPr>
            <w:tcW w:w="1318" w:type="dxa"/>
            <w:tcBorders>
              <w:top w:val="nil"/>
              <w:left w:val="single" w:sz="4" w:space="0" w:color="auto"/>
              <w:bottom w:val="nil"/>
              <w:right w:val="nil"/>
            </w:tcBorders>
            <w:vAlign w:val="bottom"/>
            <w:hideMark/>
          </w:tcPr>
          <w:p w14:paraId="71761282" w14:textId="77777777" w:rsidR="000551DE" w:rsidRDefault="000551DE" w:rsidP="00FC33FC">
            <w:pPr>
              <w:rPr>
                <w:rFonts w:cs="Arial"/>
                <w:color w:val="000000"/>
                <w:sz w:val="22"/>
                <w:szCs w:val="22"/>
              </w:rPr>
            </w:pPr>
            <w:r>
              <w:rPr>
                <w:rFonts w:cs="Arial"/>
                <w:color w:val="000000"/>
                <w:sz w:val="22"/>
                <w:szCs w:val="22"/>
              </w:rPr>
              <w:t xml:space="preserve">Pensioners </w:t>
            </w:r>
          </w:p>
        </w:tc>
        <w:tc>
          <w:tcPr>
            <w:tcW w:w="1273" w:type="dxa"/>
            <w:tcBorders>
              <w:top w:val="nil"/>
              <w:left w:val="single" w:sz="4" w:space="0" w:color="auto"/>
              <w:bottom w:val="nil"/>
              <w:right w:val="single" w:sz="4" w:space="0" w:color="auto"/>
            </w:tcBorders>
            <w:noWrap/>
            <w:hideMark/>
          </w:tcPr>
          <w:p w14:paraId="59B0EA74" w14:textId="77777777" w:rsidR="000551DE" w:rsidRDefault="000551DE" w:rsidP="00FC33FC">
            <w:pPr>
              <w:jc w:val="center"/>
            </w:pPr>
            <w:r>
              <w:t>5,760</w:t>
            </w:r>
          </w:p>
        </w:tc>
        <w:tc>
          <w:tcPr>
            <w:tcW w:w="1418" w:type="dxa"/>
            <w:tcBorders>
              <w:top w:val="nil"/>
              <w:left w:val="nil"/>
              <w:bottom w:val="nil"/>
              <w:right w:val="single" w:sz="4" w:space="0" w:color="auto"/>
            </w:tcBorders>
            <w:noWrap/>
          </w:tcPr>
          <w:p w14:paraId="731F4D43" w14:textId="77777777" w:rsidR="000551DE" w:rsidRDefault="000551DE" w:rsidP="00FC33FC">
            <w:pPr>
              <w:jc w:val="center"/>
            </w:pPr>
            <w:r>
              <w:t>5,795</w:t>
            </w:r>
          </w:p>
        </w:tc>
        <w:tc>
          <w:tcPr>
            <w:tcW w:w="1524" w:type="dxa"/>
            <w:tcBorders>
              <w:top w:val="nil"/>
              <w:left w:val="nil"/>
              <w:bottom w:val="nil"/>
              <w:right w:val="single" w:sz="4" w:space="0" w:color="auto"/>
            </w:tcBorders>
            <w:noWrap/>
            <w:hideMark/>
          </w:tcPr>
          <w:p w14:paraId="12E3FD7A" w14:textId="77777777" w:rsidR="000551DE" w:rsidRPr="005D34C4" w:rsidRDefault="000551DE" w:rsidP="00FC33FC">
            <w:pPr>
              <w:jc w:val="center"/>
            </w:pPr>
            <w:r w:rsidRPr="005D34C4">
              <w:t>6,004</w:t>
            </w:r>
          </w:p>
        </w:tc>
        <w:tc>
          <w:tcPr>
            <w:tcW w:w="0" w:type="auto"/>
            <w:tcBorders>
              <w:top w:val="nil"/>
              <w:left w:val="nil"/>
              <w:bottom w:val="nil"/>
              <w:right w:val="single" w:sz="4" w:space="0" w:color="auto"/>
            </w:tcBorders>
            <w:noWrap/>
          </w:tcPr>
          <w:p w14:paraId="4F7FE7CB" w14:textId="196525E4" w:rsidR="000540FD" w:rsidRPr="005D34C4" w:rsidRDefault="000540FD" w:rsidP="000540FD">
            <w:pPr>
              <w:jc w:val="center"/>
            </w:pPr>
            <w:r>
              <w:t>6,230</w:t>
            </w:r>
          </w:p>
        </w:tc>
        <w:tc>
          <w:tcPr>
            <w:tcW w:w="0" w:type="auto"/>
            <w:vAlign w:val="center"/>
            <w:hideMark/>
          </w:tcPr>
          <w:p w14:paraId="78EC329B" w14:textId="77777777" w:rsidR="000551DE" w:rsidRDefault="000551DE" w:rsidP="00FC33FC">
            <w:pPr>
              <w:rPr>
                <w:rFonts w:ascii="Times New Roman" w:hAnsi="Times New Roman"/>
                <w:sz w:val="20"/>
                <w:lang w:eastAsia="en-GB"/>
              </w:rPr>
            </w:pPr>
          </w:p>
        </w:tc>
        <w:tc>
          <w:tcPr>
            <w:tcW w:w="0" w:type="auto"/>
            <w:vAlign w:val="center"/>
            <w:hideMark/>
          </w:tcPr>
          <w:p w14:paraId="185E58AD" w14:textId="77777777" w:rsidR="000551DE" w:rsidRDefault="000551DE" w:rsidP="00FC33FC">
            <w:pPr>
              <w:rPr>
                <w:rFonts w:ascii="Times New Roman" w:hAnsi="Times New Roman"/>
                <w:sz w:val="20"/>
                <w:lang w:eastAsia="en-GB"/>
              </w:rPr>
            </w:pPr>
          </w:p>
        </w:tc>
      </w:tr>
      <w:tr w:rsidR="000551DE" w14:paraId="02BA9211" w14:textId="77777777" w:rsidTr="00FC33FC">
        <w:trPr>
          <w:trHeight w:val="285"/>
        </w:trPr>
        <w:tc>
          <w:tcPr>
            <w:tcW w:w="1318" w:type="dxa"/>
            <w:tcBorders>
              <w:top w:val="nil"/>
              <w:left w:val="single" w:sz="4" w:space="0" w:color="auto"/>
              <w:bottom w:val="nil"/>
              <w:right w:val="nil"/>
            </w:tcBorders>
            <w:vAlign w:val="bottom"/>
            <w:hideMark/>
          </w:tcPr>
          <w:p w14:paraId="2570B3E1" w14:textId="77777777" w:rsidR="000551DE" w:rsidRDefault="000551DE" w:rsidP="00FC33FC">
            <w:pPr>
              <w:rPr>
                <w:rFonts w:cs="Arial"/>
                <w:color w:val="000000"/>
                <w:sz w:val="22"/>
                <w:szCs w:val="22"/>
              </w:rPr>
            </w:pPr>
            <w:r>
              <w:rPr>
                <w:rFonts w:cs="Arial"/>
                <w:color w:val="000000"/>
                <w:sz w:val="22"/>
                <w:szCs w:val="22"/>
              </w:rPr>
              <w:t>Deferred</w:t>
            </w:r>
          </w:p>
        </w:tc>
        <w:tc>
          <w:tcPr>
            <w:tcW w:w="1273" w:type="dxa"/>
            <w:tcBorders>
              <w:top w:val="nil"/>
              <w:left w:val="single" w:sz="4" w:space="0" w:color="auto"/>
              <w:bottom w:val="nil"/>
              <w:right w:val="single" w:sz="4" w:space="0" w:color="auto"/>
            </w:tcBorders>
            <w:noWrap/>
            <w:hideMark/>
          </w:tcPr>
          <w:p w14:paraId="6FB17402" w14:textId="77777777" w:rsidR="000551DE" w:rsidRDefault="000551DE" w:rsidP="00FC33FC">
            <w:pPr>
              <w:jc w:val="center"/>
            </w:pPr>
            <w:r>
              <w:t>7,115</w:t>
            </w:r>
          </w:p>
        </w:tc>
        <w:tc>
          <w:tcPr>
            <w:tcW w:w="1418" w:type="dxa"/>
            <w:tcBorders>
              <w:top w:val="nil"/>
              <w:left w:val="nil"/>
              <w:bottom w:val="nil"/>
              <w:right w:val="single" w:sz="4" w:space="0" w:color="auto"/>
            </w:tcBorders>
            <w:noWrap/>
          </w:tcPr>
          <w:p w14:paraId="05BC768D" w14:textId="77777777" w:rsidR="000551DE" w:rsidRDefault="000551DE" w:rsidP="00FC33FC">
            <w:pPr>
              <w:jc w:val="center"/>
            </w:pPr>
            <w:r>
              <w:t>6,966</w:t>
            </w:r>
          </w:p>
        </w:tc>
        <w:tc>
          <w:tcPr>
            <w:tcW w:w="1524" w:type="dxa"/>
            <w:tcBorders>
              <w:top w:val="nil"/>
              <w:left w:val="nil"/>
              <w:bottom w:val="nil"/>
              <w:right w:val="single" w:sz="4" w:space="0" w:color="auto"/>
            </w:tcBorders>
            <w:noWrap/>
            <w:hideMark/>
          </w:tcPr>
          <w:p w14:paraId="2A1CC296" w14:textId="77777777" w:rsidR="000551DE" w:rsidRPr="005D34C4" w:rsidRDefault="000551DE" w:rsidP="00FC33FC">
            <w:pPr>
              <w:jc w:val="center"/>
            </w:pPr>
            <w:r w:rsidRPr="005D34C4">
              <w:t>7,037</w:t>
            </w:r>
          </w:p>
        </w:tc>
        <w:tc>
          <w:tcPr>
            <w:tcW w:w="0" w:type="auto"/>
            <w:tcBorders>
              <w:top w:val="nil"/>
              <w:left w:val="nil"/>
              <w:bottom w:val="nil"/>
              <w:right w:val="single" w:sz="4" w:space="0" w:color="auto"/>
            </w:tcBorders>
            <w:noWrap/>
          </w:tcPr>
          <w:p w14:paraId="2C61B349" w14:textId="1CBAF1ED" w:rsidR="000551DE" w:rsidRPr="005D34C4" w:rsidRDefault="00610ADC" w:rsidP="00FC33FC">
            <w:pPr>
              <w:jc w:val="center"/>
            </w:pPr>
            <w:r>
              <w:t>6.988</w:t>
            </w:r>
          </w:p>
        </w:tc>
        <w:tc>
          <w:tcPr>
            <w:tcW w:w="0" w:type="auto"/>
            <w:vAlign w:val="center"/>
            <w:hideMark/>
          </w:tcPr>
          <w:p w14:paraId="3B27B33D" w14:textId="77777777" w:rsidR="000551DE" w:rsidRDefault="000551DE" w:rsidP="00FC33FC">
            <w:pPr>
              <w:rPr>
                <w:rFonts w:ascii="Times New Roman" w:hAnsi="Times New Roman"/>
                <w:sz w:val="20"/>
                <w:lang w:eastAsia="en-GB"/>
              </w:rPr>
            </w:pPr>
          </w:p>
        </w:tc>
        <w:tc>
          <w:tcPr>
            <w:tcW w:w="0" w:type="auto"/>
            <w:vAlign w:val="center"/>
            <w:hideMark/>
          </w:tcPr>
          <w:p w14:paraId="7D13FC14" w14:textId="77777777" w:rsidR="000551DE" w:rsidRDefault="000551DE" w:rsidP="00FC33FC">
            <w:pPr>
              <w:rPr>
                <w:rFonts w:ascii="Times New Roman" w:hAnsi="Times New Roman"/>
                <w:sz w:val="20"/>
                <w:lang w:eastAsia="en-GB"/>
              </w:rPr>
            </w:pPr>
          </w:p>
        </w:tc>
      </w:tr>
      <w:tr w:rsidR="000551DE" w14:paraId="01E6D08E" w14:textId="77777777" w:rsidTr="00FC33FC">
        <w:trPr>
          <w:trHeight w:val="285"/>
        </w:trPr>
        <w:tc>
          <w:tcPr>
            <w:tcW w:w="1318" w:type="dxa"/>
            <w:tcBorders>
              <w:top w:val="nil"/>
              <w:left w:val="single" w:sz="4" w:space="0" w:color="auto"/>
              <w:bottom w:val="nil"/>
              <w:right w:val="nil"/>
            </w:tcBorders>
            <w:vAlign w:val="bottom"/>
            <w:hideMark/>
          </w:tcPr>
          <w:p w14:paraId="4A8240F6" w14:textId="77777777" w:rsidR="000551DE" w:rsidRDefault="000551DE" w:rsidP="00FC33FC">
            <w:pPr>
              <w:rPr>
                <w:rFonts w:cs="Arial"/>
                <w:color w:val="000000"/>
                <w:sz w:val="22"/>
                <w:szCs w:val="22"/>
              </w:rPr>
            </w:pPr>
            <w:r>
              <w:rPr>
                <w:rFonts w:cs="Arial"/>
                <w:color w:val="000000"/>
                <w:sz w:val="22"/>
                <w:szCs w:val="22"/>
              </w:rPr>
              <w:t>Active Members</w:t>
            </w:r>
          </w:p>
        </w:tc>
        <w:tc>
          <w:tcPr>
            <w:tcW w:w="1273" w:type="dxa"/>
            <w:tcBorders>
              <w:top w:val="nil"/>
              <w:left w:val="single" w:sz="4" w:space="0" w:color="auto"/>
              <w:bottom w:val="nil"/>
              <w:right w:val="single" w:sz="4" w:space="0" w:color="auto"/>
            </w:tcBorders>
            <w:noWrap/>
            <w:hideMark/>
          </w:tcPr>
          <w:p w14:paraId="0202EC59" w14:textId="77777777" w:rsidR="000551DE" w:rsidRDefault="000551DE" w:rsidP="00FC33FC">
            <w:pPr>
              <w:jc w:val="center"/>
            </w:pPr>
            <w:r>
              <w:t>5,557</w:t>
            </w:r>
          </w:p>
        </w:tc>
        <w:tc>
          <w:tcPr>
            <w:tcW w:w="1418" w:type="dxa"/>
            <w:tcBorders>
              <w:top w:val="nil"/>
              <w:left w:val="nil"/>
              <w:bottom w:val="nil"/>
              <w:right w:val="single" w:sz="4" w:space="0" w:color="auto"/>
            </w:tcBorders>
            <w:noWrap/>
          </w:tcPr>
          <w:p w14:paraId="4531C7AE" w14:textId="77777777" w:rsidR="000551DE" w:rsidRDefault="000551DE" w:rsidP="00FC33FC">
            <w:pPr>
              <w:jc w:val="center"/>
            </w:pPr>
            <w:r>
              <w:t>5,400</w:t>
            </w:r>
          </w:p>
        </w:tc>
        <w:tc>
          <w:tcPr>
            <w:tcW w:w="1524" w:type="dxa"/>
            <w:tcBorders>
              <w:top w:val="nil"/>
              <w:left w:val="nil"/>
              <w:bottom w:val="nil"/>
              <w:right w:val="single" w:sz="4" w:space="0" w:color="auto"/>
            </w:tcBorders>
            <w:noWrap/>
            <w:hideMark/>
          </w:tcPr>
          <w:p w14:paraId="21C644A4" w14:textId="77777777" w:rsidR="000551DE" w:rsidRPr="005D34C4" w:rsidRDefault="000551DE" w:rsidP="00FC33FC">
            <w:pPr>
              <w:jc w:val="center"/>
            </w:pPr>
            <w:r w:rsidRPr="005D34C4">
              <w:t>5,410</w:t>
            </w:r>
          </w:p>
        </w:tc>
        <w:tc>
          <w:tcPr>
            <w:tcW w:w="0" w:type="auto"/>
            <w:tcBorders>
              <w:top w:val="nil"/>
              <w:left w:val="nil"/>
              <w:bottom w:val="nil"/>
              <w:right w:val="single" w:sz="4" w:space="0" w:color="auto"/>
            </w:tcBorders>
            <w:noWrap/>
          </w:tcPr>
          <w:p w14:paraId="4E441DAC" w14:textId="1E0597B5" w:rsidR="000551DE" w:rsidRPr="005D34C4" w:rsidRDefault="00610ADC" w:rsidP="00FC33FC">
            <w:pPr>
              <w:jc w:val="center"/>
            </w:pPr>
            <w:r>
              <w:t>5,420</w:t>
            </w:r>
          </w:p>
        </w:tc>
        <w:tc>
          <w:tcPr>
            <w:tcW w:w="0" w:type="auto"/>
            <w:vAlign w:val="center"/>
            <w:hideMark/>
          </w:tcPr>
          <w:p w14:paraId="26331E03" w14:textId="77777777" w:rsidR="000551DE" w:rsidRDefault="000551DE" w:rsidP="00FC33FC">
            <w:pPr>
              <w:rPr>
                <w:rFonts w:ascii="Times New Roman" w:hAnsi="Times New Roman"/>
                <w:sz w:val="20"/>
                <w:lang w:eastAsia="en-GB"/>
              </w:rPr>
            </w:pPr>
          </w:p>
        </w:tc>
        <w:tc>
          <w:tcPr>
            <w:tcW w:w="0" w:type="auto"/>
            <w:vAlign w:val="center"/>
            <w:hideMark/>
          </w:tcPr>
          <w:p w14:paraId="12131A5B" w14:textId="77777777" w:rsidR="000551DE" w:rsidRDefault="000551DE" w:rsidP="00FC33FC">
            <w:pPr>
              <w:rPr>
                <w:rFonts w:ascii="Times New Roman" w:hAnsi="Times New Roman"/>
                <w:sz w:val="20"/>
                <w:lang w:eastAsia="en-GB"/>
              </w:rPr>
            </w:pPr>
          </w:p>
        </w:tc>
      </w:tr>
      <w:tr w:rsidR="000551DE" w14:paraId="2979C33B" w14:textId="77777777" w:rsidTr="00FC33FC">
        <w:trPr>
          <w:trHeight w:val="285"/>
        </w:trPr>
        <w:tc>
          <w:tcPr>
            <w:tcW w:w="1318" w:type="dxa"/>
            <w:tcBorders>
              <w:top w:val="single" w:sz="4" w:space="0" w:color="auto"/>
              <w:left w:val="single" w:sz="4" w:space="0" w:color="auto"/>
              <w:bottom w:val="single" w:sz="4" w:space="0" w:color="auto"/>
              <w:right w:val="nil"/>
            </w:tcBorders>
            <w:vAlign w:val="bottom"/>
            <w:hideMark/>
          </w:tcPr>
          <w:p w14:paraId="0EDB939B" w14:textId="77777777" w:rsidR="000551DE" w:rsidRDefault="000551DE" w:rsidP="00FC33FC">
            <w:pPr>
              <w:rPr>
                <w:rFonts w:cs="Arial"/>
                <w:color w:val="000000"/>
                <w:sz w:val="22"/>
                <w:szCs w:val="22"/>
              </w:rPr>
            </w:pPr>
            <w:r>
              <w:rPr>
                <w:rFonts w:cs="Arial"/>
                <w:color w:val="000000"/>
                <w:sz w:val="22"/>
                <w:szCs w:val="22"/>
              </w:rPr>
              <w:t>% Active Members</w:t>
            </w:r>
          </w:p>
        </w:tc>
        <w:tc>
          <w:tcPr>
            <w:tcW w:w="1273" w:type="dxa"/>
            <w:tcBorders>
              <w:top w:val="single" w:sz="4" w:space="0" w:color="auto"/>
              <w:left w:val="single" w:sz="4" w:space="0" w:color="auto"/>
              <w:bottom w:val="single" w:sz="4" w:space="0" w:color="auto"/>
              <w:right w:val="single" w:sz="4" w:space="0" w:color="auto"/>
            </w:tcBorders>
            <w:hideMark/>
          </w:tcPr>
          <w:p w14:paraId="18BA67BF" w14:textId="77777777" w:rsidR="000551DE" w:rsidRDefault="000551DE" w:rsidP="00FC33FC">
            <w:pPr>
              <w:jc w:val="center"/>
            </w:pPr>
            <w:r>
              <w:t>30.1%</w:t>
            </w:r>
          </w:p>
        </w:tc>
        <w:tc>
          <w:tcPr>
            <w:tcW w:w="1418" w:type="dxa"/>
            <w:tcBorders>
              <w:top w:val="single" w:sz="4" w:space="0" w:color="auto"/>
              <w:left w:val="nil"/>
              <w:bottom w:val="single" w:sz="4" w:space="0" w:color="auto"/>
              <w:right w:val="single" w:sz="4" w:space="0" w:color="auto"/>
            </w:tcBorders>
          </w:tcPr>
          <w:p w14:paraId="422ACAFA" w14:textId="77777777" w:rsidR="000551DE" w:rsidRDefault="000551DE" w:rsidP="00FC33FC">
            <w:pPr>
              <w:jc w:val="center"/>
            </w:pPr>
            <w:r>
              <w:t>29.7%</w:t>
            </w:r>
          </w:p>
        </w:tc>
        <w:tc>
          <w:tcPr>
            <w:tcW w:w="1524" w:type="dxa"/>
            <w:tcBorders>
              <w:top w:val="single" w:sz="4" w:space="0" w:color="auto"/>
              <w:left w:val="nil"/>
              <w:bottom w:val="single" w:sz="4" w:space="0" w:color="auto"/>
              <w:right w:val="single" w:sz="4" w:space="0" w:color="auto"/>
            </w:tcBorders>
            <w:hideMark/>
          </w:tcPr>
          <w:p w14:paraId="7EB9A252" w14:textId="77777777" w:rsidR="000551DE" w:rsidRPr="005D34C4" w:rsidRDefault="000551DE" w:rsidP="00FC33FC">
            <w:pPr>
              <w:jc w:val="center"/>
            </w:pPr>
            <w:r w:rsidRPr="005D34C4">
              <w:t>29.3%</w:t>
            </w:r>
          </w:p>
        </w:tc>
        <w:tc>
          <w:tcPr>
            <w:tcW w:w="0" w:type="auto"/>
            <w:tcBorders>
              <w:top w:val="single" w:sz="4" w:space="0" w:color="auto"/>
              <w:left w:val="nil"/>
              <w:bottom w:val="single" w:sz="4" w:space="0" w:color="auto"/>
              <w:right w:val="single" w:sz="4" w:space="0" w:color="auto"/>
            </w:tcBorders>
          </w:tcPr>
          <w:p w14:paraId="32952B43" w14:textId="704E6A7E" w:rsidR="000551DE" w:rsidRPr="005D34C4" w:rsidRDefault="007853C7" w:rsidP="00FC33FC">
            <w:pPr>
              <w:jc w:val="center"/>
            </w:pPr>
            <w:r>
              <w:t>29</w:t>
            </w:r>
            <w:r w:rsidR="00AA5187">
              <w:t>%</w:t>
            </w:r>
          </w:p>
        </w:tc>
        <w:tc>
          <w:tcPr>
            <w:tcW w:w="0" w:type="auto"/>
            <w:vAlign w:val="center"/>
            <w:hideMark/>
          </w:tcPr>
          <w:p w14:paraId="1FA96C67" w14:textId="77777777" w:rsidR="000551DE" w:rsidRDefault="000551DE" w:rsidP="00FC33FC">
            <w:pPr>
              <w:rPr>
                <w:rFonts w:ascii="Times New Roman" w:hAnsi="Times New Roman"/>
                <w:sz w:val="20"/>
                <w:lang w:eastAsia="en-GB"/>
              </w:rPr>
            </w:pPr>
          </w:p>
        </w:tc>
        <w:tc>
          <w:tcPr>
            <w:tcW w:w="0" w:type="auto"/>
            <w:vAlign w:val="center"/>
            <w:hideMark/>
          </w:tcPr>
          <w:p w14:paraId="41B074B3" w14:textId="77777777" w:rsidR="000551DE" w:rsidRDefault="000551DE" w:rsidP="00FC33FC">
            <w:pPr>
              <w:rPr>
                <w:rFonts w:ascii="Times New Roman" w:hAnsi="Times New Roman"/>
                <w:sz w:val="20"/>
                <w:lang w:eastAsia="en-GB"/>
              </w:rPr>
            </w:pPr>
          </w:p>
        </w:tc>
      </w:tr>
      <w:tr w:rsidR="000551DE" w14:paraId="790510D5" w14:textId="77777777" w:rsidTr="00FC33FC">
        <w:trPr>
          <w:trHeight w:val="285"/>
        </w:trPr>
        <w:tc>
          <w:tcPr>
            <w:tcW w:w="1318" w:type="dxa"/>
            <w:tcBorders>
              <w:top w:val="single" w:sz="4" w:space="0" w:color="auto"/>
              <w:left w:val="single" w:sz="4" w:space="0" w:color="auto"/>
              <w:bottom w:val="single" w:sz="4" w:space="0" w:color="auto"/>
              <w:right w:val="nil"/>
            </w:tcBorders>
            <w:vAlign w:val="bottom"/>
            <w:hideMark/>
          </w:tcPr>
          <w:p w14:paraId="3F437DDC" w14:textId="77777777" w:rsidR="000551DE" w:rsidRDefault="000551DE" w:rsidP="00FC33FC">
            <w:pPr>
              <w:rPr>
                <w:rFonts w:cs="Arial"/>
                <w:color w:val="000000"/>
                <w:sz w:val="22"/>
                <w:szCs w:val="22"/>
              </w:rPr>
            </w:pPr>
            <w:r>
              <w:rPr>
                <w:rFonts w:cs="Arial"/>
                <w:color w:val="000000"/>
                <w:sz w:val="22"/>
                <w:szCs w:val="22"/>
              </w:rPr>
              <w:t>Total</w:t>
            </w:r>
          </w:p>
        </w:tc>
        <w:tc>
          <w:tcPr>
            <w:tcW w:w="1273" w:type="dxa"/>
            <w:tcBorders>
              <w:top w:val="single" w:sz="4" w:space="0" w:color="auto"/>
              <w:left w:val="single" w:sz="4" w:space="0" w:color="auto"/>
              <w:bottom w:val="single" w:sz="4" w:space="0" w:color="auto"/>
              <w:right w:val="single" w:sz="4" w:space="0" w:color="auto"/>
            </w:tcBorders>
            <w:hideMark/>
          </w:tcPr>
          <w:p w14:paraId="1B402915" w14:textId="77777777" w:rsidR="000551DE" w:rsidRDefault="000551DE" w:rsidP="00FC33FC">
            <w:pPr>
              <w:jc w:val="center"/>
            </w:pPr>
            <w:r>
              <w:t>18,432</w:t>
            </w:r>
          </w:p>
        </w:tc>
        <w:tc>
          <w:tcPr>
            <w:tcW w:w="1418" w:type="dxa"/>
            <w:tcBorders>
              <w:top w:val="single" w:sz="4" w:space="0" w:color="auto"/>
              <w:left w:val="nil"/>
              <w:bottom w:val="single" w:sz="4" w:space="0" w:color="auto"/>
              <w:right w:val="single" w:sz="4" w:space="0" w:color="auto"/>
            </w:tcBorders>
          </w:tcPr>
          <w:p w14:paraId="0774BB09" w14:textId="77777777" w:rsidR="000551DE" w:rsidRDefault="000551DE" w:rsidP="00FC33FC">
            <w:pPr>
              <w:jc w:val="center"/>
            </w:pPr>
            <w:r>
              <w:t>18,161</w:t>
            </w:r>
          </w:p>
        </w:tc>
        <w:tc>
          <w:tcPr>
            <w:tcW w:w="1524" w:type="dxa"/>
            <w:tcBorders>
              <w:top w:val="single" w:sz="4" w:space="0" w:color="auto"/>
              <w:left w:val="nil"/>
              <w:bottom w:val="single" w:sz="4" w:space="0" w:color="auto"/>
              <w:right w:val="single" w:sz="4" w:space="0" w:color="auto"/>
            </w:tcBorders>
            <w:hideMark/>
          </w:tcPr>
          <w:p w14:paraId="243808C9" w14:textId="77777777" w:rsidR="000551DE" w:rsidRPr="005D34C4" w:rsidRDefault="000551DE" w:rsidP="00FC33FC">
            <w:pPr>
              <w:jc w:val="center"/>
            </w:pPr>
            <w:r w:rsidRPr="005D34C4">
              <w:t>18,451</w:t>
            </w:r>
          </w:p>
        </w:tc>
        <w:tc>
          <w:tcPr>
            <w:tcW w:w="0" w:type="auto"/>
            <w:tcBorders>
              <w:top w:val="single" w:sz="4" w:space="0" w:color="auto"/>
              <w:left w:val="nil"/>
              <w:bottom w:val="single" w:sz="4" w:space="0" w:color="auto"/>
              <w:right w:val="single" w:sz="4" w:space="0" w:color="auto"/>
            </w:tcBorders>
          </w:tcPr>
          <w:p w14:paraId="14B5C98F" w14:textId="3508E1BB" w:rsidR="000551DE" w:rsidRPr="005D34C4" w:rsidRDefault="00AA5187" w:rsidP="00FC33FC">
            <w:pPr>
              <w:jc w:val="center"/>
            </w:pPr>
            <w:r>
              <w:t>18,638</w:t>
            </w:r>
          </w:p>
        </w:tc>
        <w:tc>
          <w:tcPr>
            <w:tcW w:w="0" w:type="auto"/>
            <w:vAlign w:val="center"/>
            <w:hideMark/>
          </w:tcPr>
          <w:p w14:paraId="1D0231D1" w14:textId="77777777" w:rsidR="000551DE" w:rsidRDefault="000551DE" w:rsidP="00FC33FC">
            <w:pPr>
              <w:rPr>
                <w:rFonts w:ascii="Times New Roman" w:hAnsi="Times New Roman"/>
                <w:sz w:val="20"/>
                <w:lang w:eastAsia="en-GB"/>
              </w:rPr>
            </w:pPr>
          </w:p>
        </w:tc>
        <w:tc>
          <w:tcPr>
            <w:tcW w:w="0" w:type="auto"/>
            <w:vAlign w:val="center"/>
            <w:hideMark/>
          </w:tcPr>
          <w:p w14:paraId="783DE19C" w14:textId="77777777" w:rsidR="000551DE" w:rsidRDefault="000551DE" w:rsidP="00FC33FC">
            <w:pPr>
              <w:rPr>
                <w:rFonts w:ascii="Times New Roman" w:hAnsi="Times New Roman"/>
                <w:sz w:val="20"/>
                <w:lang w:eastAsia="en-GB"/>
              </w:rPr>
            </w:pPr>
          </w:p>
        </w:tc>
      </w:tr>
    </w:tbl>
    <w:p w14:paraId="428F9EEB" w14:textId="77777777" w:rsidR="000551DE" w:rsidRDefault="000551DE" w:rsidP="000551DE">
      <w:pPr>
        <w:ind w:left="720"/>
        <w:jc w:val="both"/>
      </w:pPr>
    </w:p>
    <w:p w14:paraId="7336C420" w14:textId="77777777" w:rsidR="000551DE" w:rsidRDefault="000551DE" w:rsidP="000551DE">
      <w:pPr>
        <w:ind w:left="284" w:hanging="284"/>
        <w:jc w:val="both"/>
        <w:rPr>
          <w:b/>
        </w:rPr>
      </w:pPr>
      <w:r>
        <w:rPr>
          <w:b/>
        </w:rPr>
        <w:t>Requirement to Report Breaches of Law</w:t>
      </w:r>
    </w:p>
    <w:p w14:paraId="48B9B877" w14:textId="77777777" w:rsidR="000551DE" w:rsidRDefault="000551DE" w:rsidP="000551DE">
      <w:pPr>
        <w:jc w:val="both"/>
      </w:pPr>
    </w:p>
    <w:p w14:paraId="5A0D62A2" w14:textId="1DBDE4B6" w:rsidR="000551DE" w:rsidRDefault="000551DE" w:rsidP="000551DE">
      <w:pPr>
        <w:numPr>
          <w:ilvl w:val="0"/>
          <w:numId w:val="16"/>
        </w:numPr>
        <w:jc w:val="both"/>
      </w:pPr>
      <w:r>
        <w:t>The</w:t>
      </w:r>
      <w:r w:rsidR="00C175FB">
        <w:t xml:space="preserve"> </w:t>
      </w:r>
      <w:r>
        <w:t>Pension Board reviewed the breaches in law policy and breaches reporting procedure at its meeting on 20</w:t>
      </w:r>
      <w:r w:rsidRPr="000551DE">
        <w:rPr>
          <w:vertAlign w:val="superscript"/>
        </w:rPr>
        <w:t>th</w:t>
      </w:r>
      <w:r>
        <w:t xml:space="preserve"> September 2018.</w:t>
      </w:r>
    </w:p>
    <w:p w14:paraId="496812B9" w14:textId="77777777" w:rsidR="000551DE" w:rsidRDefault="000551DE" w:rsidP="000551DE">
      <w:pPr>
        <w:ind w:left="720"/>
        <w:jc w:val="both"/>
      </w:pPr>
    </w:p>
    <w:p w14:paraId="2F623CE9" w14:textId="24E51E19" w:rsidR="000551DE" w:rsidRDefault="000551DE" w:rsidP="000551DE">
      <w:pPr>
        <w:numPr>
          <w:ilvl w:val="0"/>
          <w:numId w:val="16"/>
        </w:numPr>
        <w:jc w:val="both"/>
      </w:pPr>
      <w:r w:rsidRPr="00131DA9">
        <w:t>There have been no known breaches of law in the current financial year</w:t>
      </w:r>
      <w:r>
        <w:t xml:space="preserve"> </w:t>
      </w:r>
      <w:r w:rsidRPr="00131DA9">
        <w:t>to date.</w:t>
      </w:r>
    </w:p>
    <w:p w14:paraId="669B835F" w14:textId="77777777" w:rsidR="000551DE" w:rsidRDefault="000551DE" w:rsidP="000551DE">
      <w:pPr>
        <w:pStyle w:val="ListParagraph"/>
      </w:pPr>
    </w:p>
    <w:p w14:paraId="370E51AE" w14:textId="77777777" w:rsidR="000551DE" w:rsidRPr="000551DE" w:rsidRDefault="000551DE" w:rsidP="000551DE">
      <w:pPr>
        <w:rPr>
          <w:b/>
        </w:rPr>
      </w:pPr>
      <w:r w:rsidRPr="000551DE">
        <w:rPr>
          <w:b/>
        </w:rPr>
        <w:t>Internal Disputes Cases and Complaints</w:t>
      </w:r>
    </w:p>
    <w:p w14:paraId="04C076D5" w14:textId="5A402765" w:rsidR="000551DE" w:rsidRDefault="000551DE" w:rsidP="000551DE">
      <w:pPr>
        <w:jc w:val="both"/>
      </w:pPr>
    </w:p>
    <w:p w14:paraId="3458CDA6" w14:textId="4DD618FE" w:rsidR="00C175FB" w:rsidRDefault="00C175FB" w:rsidP="00C175FB">
      <w:pPr>
        <w:numPr>
          <w:ilvl w:val="0"/>
          <w:numId w:val="16"/>
        </w:numPr>
        <w:jc w:val="both"/>
      </w:pPr>
      <w:r w:rsidRPr="00131DA9">
        <w:t>No internal disputes or complaints have been raised in the current financial year</w:t>
      </w:r>
      <w:r>
        <w:t>.</w:t>
      </w:r>
    </w:p>
    <w:p w14:paraId="2989B140" w14:textId="77777777" w:rsidR="00C175FB" w:rsidRDefault="00C175FB" w:rsidP="00C175FB">
      <w:pPr>
        <w:ind w:left="720"/>
        <w:jc w:val="both"/>
      </w:pPr>
    </w:p>
    <w:p w14:paraId="58986598" w14:textId="688CDEE7" w:rsidR="000551DE" w:rsidRDefault="00C175FB" w:rsidP="00C175FB">
      <w:pPr>
        <w:numPr>
          <w:ilvl w:val="0"/>
          <w:numId w:val="16"/>
        </w:numPr>
        <w:jc w:val="both"/>
      </w:pPr>
      <w:r>
        <w:t xml:space="preserve">During the last quarter, there was further correspondence in respect of two long standing cases, and Stage 2 determinations were issued. Both related to </w:t>
      </w:r>
      <w:r w:rsidR="00C32724">
        <w:t xml:space="preserve">and upheld earlier </w:t>
      </w:r>
      <w:r>
        <w:t>decisions regarding ill health retirement.</w:t>
      </w:r>
    </w:p>
    <w:p w14:paraId="4A1CCCBC" w14:textId="77777777" w:rsidR="00C175FB" w:rsidRDefault="00C175FB" w:rsidP="00C175FB">
      <w:pPr>
        <w:pStyle w:val="ListParagraph"/>
      </w:pPr>
    </w:p>
    <w:p w14:paraId="62FAC9CE" w14:textId="4B1F5B08" w:rsidR="00C175FB" w:rsidRDefault="00C175FB" w:rsidP="00C175FB">
      <w:pPr>
        <w:numPr>
          <w:ilvl w:val="0"/>
          <w:numId w:val="16"/>
        </w:numPr>
        <w:jc w:val="both"/>
      </w:pPr>
      <w:r>
        <w:t xml:space="preserve">In addition, one complaint to the Pensions Ombudsman was received in December 2020. A response was sent to the Ombudsman in January 2021, and his decision is awaited. </w:t>
      </w:r>
      <w:r w:rsidR="00C32724">
        <w:t>This complaint related to a decision regarding ill health retirement taken in 2017 and followed a stage 2 appeal which was received and determined early in 2020.</w:t>
      </w:r>
    </w:p>
    <w:p w14:paraId="604F6EF5" w14:textId="77777777" w:rsidR="000551DE" w:rsidRDefault="000551DE" w:rsidP="000551DE">
      <w:pPr>
        <w:ind w:left="720"/>
        <w:jc w:val="both"/>
      </w:pPr>
    </w:p>
    <w:p w14:paraId="724CCAFE" w14:textId="77777777" w:rsidR="000551DE" w:rsidRPr="000551DE" w:rsidRDefault="000551DE" w:rsidP="000551DE">
      <w:pPr>
        <w:jc w:val="both"/>
        <w:rPr>
          <w:b/>
        </w:rPr>
      </w:pPr>
      <w:r w:rsidRPr="000551DE">
        <w:rPr>
          <w:b/>
        </w:rPr>
        <w:t xml:space="preserve">Payment of Employer Contributions </w:t>
      </w:r>
    </w:p>
    <w:p w14:paraId="357F3D50" w14:textId="77777777" w:rsidR="00BE75CB" w:rsidRDefault="00BE75CB" w:rsidP="000551DE">
      <w:pPr>
        <w:jc w:val="both"/>
      </w:pPr>
    </w:p>
    <w:p w14:paraId="004A0A77" w14:textId="20269273" w:rsidR="000551DE" w:rsidRDefault="000551DE" w:rsidP="00BE75CB">
      <w:pPr>
        <w:numPr>
          <w:ilvl w:val="0"/>
          <w:numId w:val="16"/>
        </w:numPr>
        <w:jc w:val="both"/>
      </w:pPr>
      <w:r w:rsidRPr="00A91B94">
        <w:t>Employer contributions are required to be paid in arrears by the 19</w:t>
      </w:r>
      <w:r w:rsidRPr="00A91B94">
        <w:rPr>
          <w:vertAlign w:val="superscript"/>
        </w:rPr>
        <w:t>th</w:t>
      </w:r>
      <w:r w:rsidRPr="00A91B94">
        <w:t xml:space="preserve"> of each month.  All employer contributions have been paid on time in the year to date. Employers are contacted if payment has not been received by the due date</w:t>
      </w:r>
      <w:r>
        <w:t>.</w:t>
      </w:r>
    </w:p>
    <w:p w14:paraId="02CD1402" w14:textId="77777777" w:rsidR="00443912" w:rsidRDefault="00443912" w:rsidP="00443912">
      <w:pPr>
        <w:ind w:left="720"/>
        <w:jc w:val="both"/>
      </w:pPr>
    </w:p>
    <w:p w14:paraId="46DEF8DE" w14:textId="1987B01C" w:rsidR="00443912" w:rsidRDefault="00443912" w:rsidP="00443912">
      <w:pPr>
        <w:jc w:val="both"/>
        <w:rPr>
          <w:b/>
          <w:bCs/>
        </w:rPr>
      </w:pPr>
      <w:r w:rsidRPr="00443912">
        <w:rPr>
          <w:b/>
          <w:bCs/>
        </w:rPr>
        <w:t>Update</w:t>
      </w:r>
      <w:r w:rsidR="00F13423">
        <w:rPr>
          <w:b/>
          <w:bCs/>
        </w:rPr>
        <w:t xml:space="preserve"> on Legislation Changes (Exit Cap and </w:t>
      </w:r>
      <w:r w:rsidR="00F13423" w:rsidRPr="00443912">
        <w:rPr>
          <w:b/>
          <w:bCs/>
        </w:rPr>
        <w:t>McCloud</w:t>
      </w:r>
      <w:r w:rsidR="00F13423">
        <w:rPr>
          <w:b/>
          <w:bCs/>
        </w:rPr>
        <w:t>)</w:t>
      </w:r>
    </w:p>
    <w:p w14:paraId="6179E8E0" w14:textId="77777777" w:rsidR="00443912" w:rsidRPr="00443912" w:rsidRDefault="00443912" w:rsidP="00443912">
      <w:pPr>
        <w:jc w:val="both"/>
        <w:rPr>
          <w:b/>
          <w:bCs/>
        </w:rPr>
      </w:pPr>
    </w:p>
    <w:p w14:paraId="172605FE" w14:textId="13ABFADA" w:rsidR="00F13423" w:rsidRDefault="00F13423" w:rsidP="00BE75CB">
      <w:pPr>
        <w:numPr>
          <w:ilvl w:val="0"/>
          <w:numId w:val="16"/>
        </w:numPr>
        <w:jc w:val="both"/>
      </w:pPr>
      <w:r>
        <w:t xml:space="preserve">The Fund participates in a “system user group” with other LGPS fund who use the same software supplier – Aquila Heywood. </w:t>
      </w:r>
      <w:r w:rsidR="008E0764">
        <w:t xml:space="preserve">This enables Funds to agree on the prioritisation of </w:t>
      </w:r>
      <w:r w:rsidR="00F558A6">
        <w:t xml:space="preserve">system </w:t>
      </w:r>
      <w:r w:rsidR="008E0764">
        <w:t xml:space="preserve">changes which affect all funds, and to share the costs of these changes equitably. </w:t>
      </w:r>
      <w:r w:rsidR="00C32724">
        <w:t xml:space="preserve">Since the Board’s last meeting, </w:t>
      </w:r>
      <w:r w:rsidR="008E0764">
        <w:t>when it received a detailed report on these</w:t>
      </w:r>
      <w:r w:rsidR="00F558A6">
        <w:t xml:space="preserve"> legislative </w:t>
      </w:r>
      <w:r w:rsidR="008E0764">
        <w:t xml:space="preserve">changes, </w:t>
      </w:r>
      <w:r>
        <w:t>work has progressed on scoping the software changes which will be required to address the issues</w:t>
      </w:r>
      <w:r w:rsidR="008E0764">
        <w:t>.</w:t>
      </w:r>
      <w:r>
        <w:t xml:space="preserve"> </w:t>
      </w:r>
    </w:p>
    <w:p w14:paraId="00AF8910" w14:textId="77777777" w:rsidR="00F13423" w:rsidRDefault="00F13423" w:rsidP="00F13423">
      <w:pPr>
        <w:ind w:left="720"/>
        <w:jc w:val="both"/>
      </w:pPr>
    </w:p>
    <w:p w14:paraId="6BC75A75" w14:textId="45A04F75" w:rsidR="008E0764" w:rsidRDefault="00C32724" w:rsidP="00BE75CB">
      <w:pPr>
        <w:numPr>
          <w:ilvl w:val="0"/>
          <w:numId w:val="16"/>
        </w:numPr>
        <w:jc w:val="both"/>
      </w:pPr>
      <w:r>
        <w:lastRenderedPageBreak/>
        <w:t>Aquila Heywood</w:t>
      </w:r>
      <w:r w:rsidR="00F13423">
        <w:t xml:space="preserve"> had discussions with officials from the Ministry of Housing &amp; Local Government (MHCLG),</w:t>
      </w:r>
      <w:r>
        <w:t xml:space="preserve"> </w:t>
      </w:r>
      <w:r w:rsidR="00F13423">
        <w:t>and ha</w:t>
      </w:r>
      <w:r w:rsidR="001D5E83">
        <w:t>d</w:t>
      </w:r>
      <w:r w:rsidR="00F13423">
        <w:t xml:space="preserve"> agreed to prioritise work on the Exit Cap.  </w:t>
      </w:r>
      <w:r w:rsidR="008E0764">
        <w:t xml:space="preserve">The changes required </w:t>
      </w:r>
      <w:r w:rsidR="001D5E83">
        <w:t>we</w:t>
      </w:r>
      <w:r w:rsidR="008E0764">
        <w:t xml:space="preserve">re expected to be completed and released in April 2021, although it </w:t>
      </w:r>
      <w:r w:rsidR="001D5E83">
        <w:t>wa</w:t>
      </w:r>
      <w:r w:rsidR="008E0764">
        <w:t>s acknowledged that the new LGPS Regulations may be changed or may require further change when the judicial reviews into the Exit Cap are heard in March 2021.</w:t>
      </w:r>
    </w:p>
    <w:p w14:paraId="6D67E812" w14:textId="77777777" w:rsidR="001D5E83" w:rsidRDefault="001D5E83" w:rsidP="001D5E83">
      <w:pPr>
        <w:pStyle w:val="ListParagraph"/>
      </w:pPr>
    </w:p>
    <w:p w14:paraId="32151232" w14:textId="638B96C1" w:rsidR="001D5E83" w:rsidRDefault="001D5E83" w:rsidP="00BE75CB">
      <w:pPr>
        <w:numPr>
          <w:ilvl w:val="0"/>
          <w:numId w:val="16"/>
        </w:numPr>
        <w:jc w:val="both"/>
      </w:pPr>
      <w:r>
        <w:t xml:space="preserve"> On 12 February 2021, HM Treasury announced that the Restriction of Public Sector Exit Payment Regulations 2020 “may have had unintended consequences,” and were therefore to be revoked. Pending revocation, HM Treasury has published mandatory guidance that the Regulations should not be applied. </w:t>
      </w:r>
    </w:p>
    <w:p w14:paraId="3D912DF2" w14:textId="77777777" w:rsidR="001D5E83" w:rsidRDefault="001D5E83" w:rsidP="001D5E83">
      <w:pPr>
        <w:pStyle w:val="ListParagraph"/>
      </w:pPr>
    </w:p>
    <w:p w14:paraId="77C4377A" w14:textId="116FCA81" w:rsidR="001D5E83" w:rsidRPr="001D5E83" w:rsidRDefault="001D5E83" w:rsidP="00BE75CB">
      <w:pPr>
        <w:numPr>
          <w:ilvl w:val="0"/>
          <w:numId w:val="16"/>
        </w:numPr>
        <w:jc w:val="both"/>
        <w:rPr>
          <w:szCs w:val="24"/>
        </w:rPr>
      </w:pPr>
      <w:r w:rsidRPr="001D5E83">
        <w:rPr>
          <w:szCs w:val="24"/>
        </w:rPr>
        <w:t xml:space="preserve">The guidance includes the following comments </w:t>
      </w:r>
    </w:p>
    <w:p w14:paraId="517DC264" w14:textId="164F7DB7" w:rsidR="001D5E83" w:rsidRPr="001D5E83" w:rsidRDefault="001D5E83" w:rsidP="001D5E83">
      <w:pPr>
        <w:pStyle w:val="ListParagraph"/>
        <w:numPr>
          <w:ilvl w:val="0"/>
          <w:numId w:val="24"/>
        </w:numPr>
        <w:rPr>
          <w:rFonts w:ascii="Calibri" w:eastAsia="Times New Roman" w:hAnsi="Calibri"/>
          <w:sz w:val="24"/>
          <w:szCs w:val="24"/>
          <w:lang w:eastAsia="en-US"/>
        </w:rPr>
      </w:pPr>
      <w:r w:rsidRPr="001D5E83">
        <w:rPr>
          <w:rFonts w:eastAsia="Times New Roman"/>
          <w:sz w:val="24"/>
          <w:szCs w:val="24"/>
        </w:rPr>
        <w:t>“</w:t>
      </w:r>
      <w:r w:rsidRPr="001D5E83">
        <w:rPr>
          <w:rFonts w:eastAsia="Times New Roman"/>
          <w:i/>
          <w:iCs/>
          <w:sz w:val="24"/>
          <w:szCs w:val="24"/>
        </w:rPr>
        <w:t>HM Treasury will bring forward proposals at pace to tackle unjustified exit payments.” (par</w:t>
      </w:r>
      <w:r w:rsidR="005D3267">
        <w:rPr>
          <w:rFonts w:eastAsia="Times New Roman"/>
          <w:i/>
          <w:iCs/>
          <w:sz w:val="24"/>
          <w:szCs w:val="24"/>
        </w:rPr>
        <w:t>a.</w:t>
      </w:r>
      <w:r w:rsidRPr="001D5E83">
        <w:rPr>
          <w:rFonts w:eastAsia="Times New Roman"/>
          <w:i/>
          <w:iCs/>
          <w:sz w:val="24"/>
          <w:szCs w:val="24"/>
        </w:rPr>
        <w:t xml:space="preserve"> 1.5)</w:t>
      </w:r>
    </w:p>
    <w:p w14:paraId="60974E84" w14:textId="02968750" w:rsidR="001D5E83" w:rsidRPr="001D5E83" w:rsidRDefault="001D5E83" w:rsidP="001D5E83">
      <w:pPr>
        <w:pStyle w:val="ListParagraph"/>
        <w:numPr>
          <w:ilvl w:val="0"/>
          <w:numId w:val="24"/>
        </w:numPr>
        <w:rPr>
          <w:rFonts w:ascii="Calibri" w:eastAsia="Times New Roman" w:hAnsi="Calibri"/>
          <w:sz w:val="24"/>
          <w:szCs w:val="24"/>
          <w:lang w:eastAsia="en-US"/>
        </w:rPr>
      </w:pPr>
      <w:r w:rsidRPr="001D5E83">
        <w:rPr>
          <w:i/>
          <w:iCs/>
          <w:sz w:val="24"/>
          <w:szCs w:val="24"/>
        </w:rPr>
        <w:t>For individuals - “If you have been directly affected by the cap whilst it was in force, you should request from your former employer the amount you would have received had the cap not been in place by contacting your employer directly.” (para</w:t>
      </w:r>
      <w:r w:rsidR="005D3267">
        <w:rPr>
          <w:i/>
          <w:iCs/>
          <w:sz w:val="24"/>
          <w:szCs w:val="24"/>
        </w:rPr>
        <w:t>.</w:t>
      </w:r>
      <w:r w:rsidRPr="001D5E83">
        <w:rPr>
          <w:i/>
          <w:iCs/>
          <w:sz w:val="24"/>
          <w:szCs w:val="24"/>
        </w:rPr>
        <w:t xml:space="preserve"> 2.2)</w:t>
      </w:r>
    </w:p>
    <w:p w14:paraId="27AC1624" w14:textId="63D1B385" w:rsidR="001D5E83" w:rsidRPr="001D5E83" w:rsidRDefault="001D5E83" w:rsidP="001D5E83">
      <w:pPr>
        <w:pStyle w:val="ListParagraph"/>
        <w:numPr>
          <w:ilvl w:val="0"/>
          <w:numId w:val="24"/>
        </w:numPr>
        <w:rPr>
          <w:rFonts w:ascii="Calibri" w:eastAsia="Times New Roman" w:hAnsi="Calibri"/>
          <w:sz w:val="24"/>
          <w:szCs w:val="24"/>
          <w:lang w:eastAsia="en-US"/>
        </w:rPr>
      </w:pPr>
      <w:r w:rsidRPr="001D5E83">
        <w:rPr>
          <w:i/>
          <w:iCs/>
          <w:sz w:val="24"/>
          <w:szCs w:val="24"/>
        </w:rPr>
        <w:t>For employers - “In light of the withdrawal of the Regulations, employers are encouraged to pay to any former employees who had an exit date between 4th November 2020 and 12th February 2021 and to whom the cap was applied, the additional sums that would have paid but for the cap. Given that the cap has now been disapplied, it is open to employers to do so and HM Treasury’s expectation is that they will do so</w:t>
      </w:r>
      <w:r w:rsidRPr="001D5E83">
        <w:rPr>
          <w:sz w:val="24"/>
          <w:szCs w:val="24"/>
        </w:rPr>
        <w:t>.” (para</w:t>
      </w:r>
      <w:r w:rsidR="005D3267">
        <w:rPr>
          <w:sz w:val="24"/>
          <w:szCs w:val="24"/>
        </w:rPr>
        <w:t>.</w:t>
      </w:r>
      <w:r w:rsidRPr="001D5E83">
        <w:rPr>
          <w:sz w:val="24"/>
          <w:szCs w:val="24"/>
        </w:rPr>
        <w:t xml:space="preserve"> 3.2)</w:t>
      </w:r>
    </w:p>
    <w:p w14:paraId="24D1A8EB" w14:textId="77777777" w:rsidR="001D5E83" w:rsidRPr="001D5E83" w:rsidRDefault="001D5E83" w:rsidP="001D5E83">
      <w:pPr>
        <w:pStyle w:val="ListParagraph"/>
        <w:rPr>
          <w:sz w:val="24"/>
          <w:szCs w:val="24"/>
        </w:rPr>
      </w:pPr>
    </w:p>
    <w:p w14:paraId="08B86399" w14:textId="70D786A7" w:rsidR="001D5E83" w:rsidRDefault="001D5E83" w:rsidP="00BE75CB">
      <w:pPr>
        <w:numPr>
          <w:ilvl w:val="0"/>
          <w:numId w:val="16"/>
        </w:numPr>
        <w:jc w:val="both"/>
      </w:pPr>
      <w:r>
        <w:t xml:space="preserve"> Harrow has had only a small number of cases where the cap may have been applied, and work is being undertaken to establish whether it is appropriate to review these. </w:t>
      </w:r>
      <w:r w:rsidR="00F558A6">
        <w:t xml:space="preserve">In none of these cases was a reduced pension paid. </w:t>
      </w:r>
      <w:r>
        <w:t>At the time of writing the report, guidance is awaited from</w:t>
      </w:r>
      <w:r w:rsidR="004F7B24">
        <w:t xml:space="preserve"> the Fund’s actuaries, Hymans Robertson, on whether it is now appropriate or necessary to revert to using the “fund specific” strain cost factors in early retirement calculations, rather than the standard Government Actuary’s Department (GAD) factors which were appropriate for the exit cap. A further update will be provided to the Pension </w:t>
      </w:r>
      <w:r w:rsidR="005D3267">
        <w:t>F</w:t>
      </w:r>
      <w:r w:rsidR="004F7B24">
        <w:t xml:space="preserve">und Committee on 24 March 2021.   </w:t>
      </w:r>
    </w:p>
    <w:p w14:paraId="59E61A56" w14:textId="77777777" w:rsidR="008E0764" w:rsidRDefault="008E0764" w:rsidP="008E0764">
      <w:pPr>
        <w:pStyle w:val="ListParagraph"/>
      </w:pPr>
    </w:p>
    <w:p w14:paraId="6B224E7A" w14:textId="0FF04DAB" w:rsidR="00B65B5A" w:rsidRDefault="008E0764" w:rsidP="00DD0045">
      <w:pPr>
        <w:numPr>
          <w:ilvl w:val="0"/>
          <w:numId w:val="16"/>
        </w:numPr>
        <w:jc w:val="both"/>
      </w:pPr>
      <w:r>
        <w:t>The first phase of work required to implement the McCloud changes is also underway. This is the development of tools to identify (from</w:t>
      </w:r>
      <w:r w:rsidR="00C32724">
        <w:t xml:space="preserve"> the scheme member database</w:t>
      </w:r>
      <w:r>
        <w:t>)</w:t>
      </w:r>
      <w:r w:rsidR="00C32724">
        <w:t xml:space="preserve"> which members are likely to be affected, and </w:t>
      </w:r>
      <w:r w:rsidR="00F13423">
        <w:t xml:space="preserve">to issue spreadsheets to employers for completion </w:t>
      </w:r>
      <w:r w:rsidR="005D3267">
        <w:t xml:space="preserve">in respect of those individuals </w:t>
      </w:r>
      <w:r w:rsidR="00F13423">
        <w:t>– this should address any gaps</w:t>
      </w:r>
      <w:r w:rsidR="00B65B5A">
        <w:t xml:space="preserve"> in their earnings / payroll data. </w:t>
      </w:r>
      <w:r>
        <w:t>Subsequent phases</w:t>
      </w:r>
      <w:r w:rsidR="00DD0045">
        <w:t xml:space="preserve">, including software changes, </w:t>
      </w:r>
      <w:r>
        <w:t xml:space="preserve">will be dependent upon the MHCLG response to the consultation on McCloud remedies. </w:t>
      </w:r>
      <w:r w:rsidR="00B65B5A">
        <w:t xml:space="preserve"> </w:t>
      </w:r>
      <w:r w:rsidR="00DD0045">
        <w:t>This is still awaited.</w:t>
      </w:r>
    </w:p>
    <w:p w14:paraId="325337C5" w14:textId="77777777" w:rsidR="00443912" w:rsidRDefault="00443912" w:rsidP="00443912">
      <w:pPr>
        <w:ind w:left="720"/>
        <w:jc w:val="both"/>
      </w:pPr>
    </w:p>
    <w:p w14:paraId="56276322" w14:textId="3D8F3E88" w:rsidR="00443912" w:rsidRDefault="00443912" w:rsidP="00443912">
      <w:pPr>
        <w:jc w:val="both"/>
        <w:rPr>
          <w:b/>
          <w:bCs/>
        </w:rPr>
      </w:pPr>
      <w:r w:rsidRPr="00443912">
        <w:rPr>
          <w:b/>
          <w:bCs/>
        </w:rPr>
        <w:t>Other Matters</w:t>
      </w:r>
    </w:p>
    <w:p w14:paraId="3B5EC990" w14:textId="77777777" w:rsidR="00443912" w:rsidRPr="00443912" w:rsidRDefault="00443912" w:rsidP="00443912">
      <w:pPr>
        <w:jc w:val="both"/>
        <w:rPr>
          <w:b/>
          <w:bCs/>
        </w:rPr>
      </w:pPr>
    </w:p>
    <w:p w14:paraId="095B376F" w14:textId="03F71CF7" w:rsidR="00443912" w:rsidRDefault="00443912" w:rsidP="00BE75CB">
      <w:pPr>
        <w:numPr>
          <w:ilvl w:val="0"/>
          <w:numId w:val="16"/>
        </w:numPr>
        <w:jc w:val="both"/>
      </w:pPr>
      <w:r>
        <w:t xml:space="preserve">The current contract </w:t>
      </w:r>
      <w:r w:rsidR="00C32724">
        <w:t xml:space="preserve">with </w:t>
      </w:r>
      <w:proofErr w:type="spellStart"/>
      <w:r w:rsidR="00C32724">
        <w:t>Acquila</w:t>
      </w:r>
      <w:proofErr w:type="spellEnd"/>
      <w:r w:rsidR="00C32724">
        <w:t xml:space="preserve"> Heywood </w:t>
      </w:r>
      <w:r>
        <w:t>for provision of Pensions Administration Software and</w:t>
      </w:r>
      <w:r w:rsidR="00C32724">
        <w:t xml:space="preserve"> the</w:t>
      </w:r>
      <w:r>
        <w:t xml:space="preserve"> hosting of this on a database expires in </w:t>
      </w:r>
      <w:r>
        <w:lastRenderedPageBreak/>
        <w:t>October 2021. Officers are currently reviewing the approach to addressing this and will report with a recommendation to the Pension Fund Committee on 24 March 2021.</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26C7D9BE" w:rsidR="006B5B52" w:rsidRDefault="00FF5D5C" w:rsidP="000E1E98">
      <w:pPr>
        <w:numPr>
          <w:ilvl w:val="0"/>
          <w:numId w:val="16"/>
        </w:numPr>
        <w:jc w:val="both"/>
        <w:rPr>
          <w:szCs w:val="24"/>
        </w:rPr>
      </w:pPr>
      <w:r>
        <w:rPr>
          <w:szCs w:val="24"/>
        </w:rPr>
        <w:t xml:space="preserve"> At its November meeting the Pension Fund Committee approved an approach to mitigate as far as possible the conflict between </w:t>
      </w:r>
      <w:r w:rsidR="005D3267">
        <w:rPr>
          <w:szCs w:val="24"/>
        </w:rPr>
        <w:t xml:space="preserve">the Restriction of Public Sector Exit Payment </w:t>
      </w:r>
      <w:r w:rsidR="004C00FA">
        <w:rPr>
          <w:szCs w:val="24"/>
        </w:rPr>
        <w:t>Regulations</w:t>
      </w:r>
      <w:r w:rsidR="006B5B52" w:rsidRPr="00C55540">
        <w:rPr>
          <w:szCs w:val="24"/>
        </w:rPr>
        <w:t xml:space="preserve"> </w:t>
      </w:r>
      <w:r w:rsidR="004C00FA">
        <w:rPr>
          <w:szCs w:val="24"/>
        </w:rPr>
        <w:t xml:space="preserve">(which limited the cost which an employer could incur in respect of an employee’s employment being terminated, including pension strain costs) and the LGPS Regulations (which provide that if an active scheme member aged 55+ is made redundant, then he/she should have immediate unreduced access to his/her pension). </w:t>
      </w:r>
      <w:r>
        <w:rPr>
          <w:szCs w:val="24"/>
        </w:rPr>
        <w:t>T</w:t>
      </w:r>
      <w:r w:rsidRPr="00C55540">
        <w:rPr>
          <w:szCs w:val="24"/>
        </w:rPr>
        <w:t>he</w:t>
      </w:r>
      <w:r>
        <w:rPr>
          <w:szCs w:val="24"/>
        </w:rPr>
        <w:t xml:space="preserve"> Government’s decision to revoke the Restriction of Public Sector Exit Payment Regulations</w:t>
      </w:r>
      <w:r w:rsidRPr="00C55540">
        <w:rPr>
          <w:szCs w:val="24"/>
        </w:rPr>
        <w:t xml:space="preserve"> </w:t>
      </w:r>
      <w:r>
        <w:rPr>
          <w:szCs w:val="24"/>
        </w:rPr>
        <w:t>removes this conflict</w:t>
      </w:r>
      <w:r w:rsidR="006B5B52" w:rsidRPr="00C55540">
        <w:rPr>
          <w:szCs w:val="24"/>
        </w:rPr>
        <w:t>.</w:t>
      </w:r>
    </w:p>
    <w:p w14:paraId="75BF25CE" w14:textId="77777777" w:rsidR="006B5B52" w:rsidRDefault="006B5B52" w:rsidP="006B5B52">
      <w:pPr>
        <w:pStyle w:val="Heading2"/>
        <w:spacing w:after="240"/>
      </w:pPr>
      <w:r>
        <w:t>Financial Implications</w:t>
      </w:r>
    </w:p>
    <w:p w14:paraId="42CA06A9" w14:textId="007DED4B" w:rsidR="006B5B52" w:rsidRPr="006B5B52" w:rsidRDefault="00FF5D5C" w:rsidP="00EB0AAE">
      <w:pPr>
        <w:numPr>
          <w:ilvl w:val="0"/>
          <w:numId w:val="16"/>
        </w:numPr>
        <w:jc w:val="both"/>
        <w:rPr>
          <w:szCs w:val="24"/>
          <w:lang w:val="en-US"/>
        </w:rPr>
      </w:pPr>
      <w:r>
        <w:rPr>
          <w:szCs w:val="24"/>
          <w:lang w:val="en-US"/>
        </w:rPr>
        <w:t xml:space="preserve">The review of individual cases where active members have left employment since 4 November 2020 may in some cases require additional payments to be made. If such payments are required it is </w:t>
      </w:r>
      <w:r w:rsidR="009D6239">
        <w:rPr>
          <w:szCs w:val="24"/>
          <w:lang w:val="en-US"/>
        </w:rPr>
        <w:t>possible</w:t>
      </w:r>
      <w:r>
        <w:rPr>
          <w:szCs w:val="24"/>
          <w:lang w:val="en-US"/>
        </w:rPr>
        <w:t xml:space="preserve"> that these will be underpayments of pension, which would need to be met from the Pension Fund.</w:t>
      </w:r>
    </w:p>
    <w:p w14:paraId="0568C5C0" w14:textId="77777777" w:rsidR="006B5B52" w:rsidRPr="003D2FFE" w:rsidRDefault="006B5B52" w:rsidP="006B5B52">
      <w:pPr>
        <w:pStyle w:val="Heading2"/>
        <w:spacing w:after="240"/>
      </w:pPr>
      <w:r>
        <w:t>Risk Management Implications</w:t>
      </w:r>
    </w:p>
    <w:p w14:paraId="462D9ECD" w14:textId="30E242EF" w:rsidR="006B5B52" w:rsidRPr="00C55540" w:rsidRDefault="00C55540" w:rsidP="00C55540">
      <w:pPr>
        <w:numPr>
          <w:ilvl w:val="0"/>
          <w:numId w:val="16"/>
        </w:numPr>
        <w:jc w:val="both"/>
      </w:pPr>
      <w:r w:rsidRPr="00C55540">
        <w:rPr>
          <w:rFonts w:cs="Arial"/>
        </w:rPr>
        <w:t xml:space="preserve">The Pension Fund’s Risk Register is reviewed </w:t>
      </w:r>
      <w:r>
        <w:rPr>
          <w:rFonts w:cs="Arial"/>
        </w:rPr>
        <w:t>regularly by bot</w:t>
      </w:r>
      <w:r w:rsidR="007D4143">
        <w:rPr>
          <w:rFonts w:cs="Arial"/>
        </w:rPr>
        <w:t>h</w:t>
      </w:r>
      <w:r>
        <w:rPr>
          <w:rFonts w:cs="Arial"/>
        </w:rPr>
        <w:t xml:space="preserve"> the Pension Fund Committee and by the Board. </w:t>
      </w:r>
      <w:r w:rsidR="005D3267">
        <w:rPr>
          <w:rFonts w:cs="Arial"/>
        </w:rPr>
        <w:t xml:space="preserve">The conflict between the </w:t>
      </w:r>
      <w:r w:rsidR="005D3267">
        <w:t xml:space="preserve">Restriction of Public Sector Exit Payment Regulations 2020 and the LGPS Regulations was classified as a red risk at the last review in November 2020. That risk has been “downgraded” as the Government’s decision to revoke the “Exit Payment Regulations” has removed the conflict. </w:t>
      </w:r>
      <w:bookmarkStart w:id="0" w:name="_GoBack"/>
      <w:bookmarkEnd w:id="0"/>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6E67915E"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DD6270">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35D48DA4" w:rsidR="00C55540" w:rsidRDefault="00C55540" w:rsidP="00C55540">
      <w:pPr>
        <w:pStyle w:val="ListParagraph"/>
        <w:numPr>
          <w:ilvl w:val="0"/>
          <w:numId w:val="16"/>
        </w:numPr>
        <w:rPr>
          <w:sz w:val="24"/>
          <w:szCs w:val="24"/>
          <w:lang w:val="en-US"/>
        </w:rPr>
      </w:pPr>
      <w:r w:rsidRPr="00A175BD">
        <w:rPr>
          <w:sz w:val="24"/>
          <w:szCs w:val="24"/>
          <w:lang w:val="en-US"/>
        </w:rPr>
        <w:lastRenderedPageBreak/>
        <w:t xml:space="preserve">The performance of the Pension Fund directly affects the level of employer contribution which then, in turn, affects the resources available for the Council’s priorities. </w:t>
      </w:r>
    </w:p>
    <w:p w14:paraId="364AA884" w14:textId="153CBF26" w:rsidR="00443912" w:rsidRDefault="00443912" w:rsidP="00443912">
      <w:pPr>
        <w:ind w:left="360"/>
        <w:rPr>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BE64954" w:rsidR="00912904" w:rsidRPr="00A66326" w:rsidRDefault="00912904" w:rsidP="00912904">
      <w:pPr>
        <w:rPr>
          <w:sz w:val="28"/>
        </w:rPr>
      </w:pPr>
      <w:r w:rsidRPr="00A66326">
        <w:rPr>
          <w:b/>
          <w:sz w:val="28"/>
        </w:rPr>
        <w:t xml:space="preserve">Statutory Officer:  </w:t>
      </w:r>
      <w:r w:rsidR="00C55540">
        <w:rPr>
          <w:b/>
          <w:sz w:val="28"/>
        </w:rPr>
        <w:t>Dawn Calvert</w:t>
      </w:r>
    </w:p>
    <w:p w14:paraId="57640BD9" w14:textId="39987006" w:rsidR="00912904" w:rsidRPr="00A66326" w:rsidRDefault="00912904" w:rsidP="00912904">
      <w:r w:rsidRPr="00A66326">
        <w:t>Signed by the Chief Financial Officer</w:t>
      </w:r>
    </w:p>
    <w:p w14:paraId="5745A2E3" w14:textId="4A74F966" w:rsidR="00912904" w:rsidRPr="00A66326" w:rsidRDefault="00912904" w:rsidP="00912904">
      <w:pPr>
        <w:spacing w:after="480"/>
        <w:rPr>
          <w:sz w:val="28"/>
        </w:rPr>
      </w:pPr>
      <w:r w:rsidRPr="00A66326">
        <w:rPr>
          <w:b/>
          <w:sz w:val="28"/>
        </w:rPr>
        <w:t xml:space="preserve">Date:  </w:t>
      </w:r>
      <w:r w:rsidR="00E76ED9">
        <w:rPr>
          <w:b/>
          <w:sz w:val="28"/>
        </w:rPr>
        <w:t>19/02/2021</w:t>
      </w:r>
    </w:p>
    <w:p w14:paraId="2586CC50" w14:textId="2DC84F52" w:rsidR="00912904" w:rsidRPr="00A66326" w:rsidRDefault="00912904" w:rsidP="00912904">
      <w:pPr>
        <w:rPr>
          <w:sz w:val="28"/>
        </w:rPr>
      </w:pPr>
      <w:r w:rsidRPr="00A66326">
        <w:rPr>
          <w:b/>
          <w:sz w:val="28"/>
        </w:rPr>
        <w:t xml:space="preserve">Statutory Officer:  </w:t>
      </w:r>
      <w:r w:rsidR="00D76680">
        <w:rPr>
          <w:b/>
          <w:sz w:val="28"/>
        </w:rPr>
        <w:t>David Hodge</w:t>
      </w:r>
    </w:p>
    <w:p w14:paraId="3F58D77A" w14:textId="1104797B" w:rsidR="00912904" w:rsidRPr="00A66326" w:rsidRDefault="00912904" w:rsidP="00912904">
      <w:r w:rsidRPr="00A66326">
        <w:t>Signed on behalf of the Monitoring Officer</w:t>
      </w:r>
    </w:p>
    <w:p w14:paraId="61F8C7E6" w14:textId="1596ACD0" w:rsidR="00912904" w:rsidRPr="003313EA" w:rsidRDefault="00912904" w:rsidP="00912904">
      <w:pPr>
        <w:spacing w:after="480"/>
        <w:rPr>
          <w:sz w:val="28"/>
        </w:rPr>
      </w:pPr>
      <w:r w:rsidRPr="00A66326">
        <w:rPr>
          <w:b/>
          <w:sz w:val="28"/>
        </w:rPr>
        <w:t xml:space="preserve">Date:  </w:t>
      </w:r>
      <w:r w:rsidR="00D76680">
        <w:rPr>
          <w:b/>
          <w:sz w:val="28"/>
        </w:rPr>
        <w:t>17/02/2021</w:t>
      </w:r>
    </w:p>
    <w:p w14:paraId="2019A53D" w14:textId="26E45BF8" w:rsidR="00912904" w:rsidRPr="00A66326" w:rsidRDefault="004A4A1D" w:rsidP="00912904">
      <w:pPr>
        <w:rPr>
          <w:sz w:val="28"/>
        </w:rPr>
      </w:pPr>
      <w:r>
        <w:rPr>
          <w:b/>
          <w:sz w:val="28"/>
        </w:rPr>
        <w:t>Chief</w:t>
      </w:r>
      <w:r w:rsidR="00912904" w:rsidRPr="00A66326">
        <w:rPr>
          <w:b/>
          <w:sz w:val="28"/>
        </w:rPr>
        <w:t xml:space="preserve"> Officer:  </w:t>
      </w:r>
      <w:r w:rsidR="00C55540">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7187F3F9" w:rsidR="00912904" w:rsidRPr="00A66326" w:rsidRDefault="00912904" w:rsidP="00912904">
      <w:pPr>
        <w:spacing w:after="480"/>
        <w:rPr>
          <w:sz w:val="28"/>
        </w:rPr>
      </w:pPr>
      <w:r w:rsidRPr="00A66326">
        <w:rPr>
          <w:b/>
          <w:sz w:val="28"/>
        </w:rPr>
        <w:t xml:space="preserve">Date:  </w:t>
      </w:r>
      <w:r w:rsidR="00E76ED9">
        <w:rPr>
          <w:b/>
          <w:sz w:val="28"/>
        </w:rPr>
        <w:t>18/02/2021</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3"/>
  </w:num>
  <w:num w:numId="10">
    <w:abstractNumId w:val="18"/>
  </w:num>
  <w:num w:numId="11">
    <w:abstractNumId w:val="22"/>
  </w:num>
  <w:num w:numId="12">
    <w:abstractNumId w:val="16"/>
  </w:num>
  <w:num w:numId="13">
    <w:abstractNumId w:val="2"/>
  </w:num>
  <w:num w:numId="14">
    <w:abstractNumId w:val="7"/>
  </w:num>
  <w:num w:numId="15">
    <w:abstractNumId w:val="14"/>
  </w:num>
  <w:num w:numId="16">
    <w:abstractNumId w:val="12"/>
  </w:num>
  <w:num w:numId="17">
    <w:abstractNumId w:val="0"/>
  </w:num>
  <w:num w:numId="18">
    <w:abstractNumId w:val="9"/>
  </w:num>
  <w:num w:numId="19">
    <w:abstractNumId w:val="11"/>
  </w:num>
  <w:num w:numId="20">
    <w:abstractNumId w:val="21"/>
  </w:num>
  <w:num w:numId="2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40FD"/>
    <w:rsid w:val="000551DE"/>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C6F48"/>
    <w:rsid w:val="001D5E83"/>
    <w:rsid w:val="001E0219"/>
    <w:rsid w:val="002076EC"/>
    <w:rsid w:val="00213BE7"/>
    <w:rsid w:val="00231A1D"/>
    <w:rsid w:val="00244120"/>
    <w:rsid w:val="00293F9F"/>
    <w:rsid w:val="002A2389"/>
    <w:rsid w:val="002A2C3A"/>
    <w:rsid w:val="002C08E2"/>
    <w:rsid w:val="002C1794"/>
    <w:rsid w:val="002D2FC5"/>
    <w:rsid w:val="002E6637"/>
    <w:rsid w:val="002E77E3"/>
    <w:rsid w:val="00332947"/>
    <w:rsid w:val="00333EB4"/>
    <w:rsid w:val="00345915"/>
    <w:rsid w:val="00365D29"/>
    <w:rsid w:val="00374F22"/>
    <w:rsid w:val="003A1F10"/>
    <w:rsid w:val="003D2FFE"/>
    <w:rsid w:val="00400032"/>
    <w:rsid w:val="0042394B"/>
    <w:rsid w:val="00443912"/>
    <w:rsid w:val="00473B08"/>
    <w:rsid w:val="00474B5F"/>
    <w:rsid w:val="004A3CE6"/>
    <w:rsid w:val="004A4A1D"/>
    <w:rsid w:val="004B2C9D"/>
    <w:rsid w:val="004B4A47"/>
    <w:rsid w:val="004C00FA"/>
    <w:rsid w:val="004E667D"/>
    <w:rsid w:val="004E6AF9"/>
    <w:rsid w:val="004F7B24"/>
    <w:rsid w:val="005031DF"/>
    <w:rsid w:val="00567D42"/>
    <w:rsid w:val="00597314"/>
    <w:rsid w:val="005A293A"/>
    <w:rsid w:val="005A61AF"/>
    <w:rsid w:val="005D0886"/>
    <w:rsid w:val="005D3267"/>
    <w:rsid w:val="005E384D"/>
    <w:rsid w:val="005F2181"/>
    <w:rsid w:val="005F724B"/>
    <w:rsid w:val="00610ADC"/>
    <w:rsid w:val="00625DFF"/>
    <w:rsid w:val="0063072B"/>
    <w:rsid w:val="00662891"/>
    <w:rsid w:val="006628B7"/>
    <w:rsid w:val="00675FCB"/>
    <w:rsid w:val="00676403"/>
    <w:rsid w:val="006B3532"/>
    <w:rsid w:val="006B3942"/>
    <w:rsid w:val="006B5B52"/>
    <w:rsid w:val="006C3914"/>
    <w:rsid w:val="006D3648"/>
    <w:rsid w:val="0074184E"/>
    <w:rsid w:val="00743829"/>
    <w:rsid w:val="00755F8D"/>
    <w:rsid w:val="0075614B"/>
    <w:rsid w:val="007853C7"/>
    <w:rsid w:val="00796503"/>
    <w:rsid w:val="007A5C98"/>
    <w:rsid w:val="007C335E"/>
    <w:rsid w:val="007D2BDA"/>
    <w:rsid w:val="007D4143"/>
    <w:rsid w:val="007D56C8"/>
    <w:rsid w:val="007E3934"/>
    <w:rsid w:val="007E7303"/>
    <w:rsid w:val="008212A0"/>
    <w:rsid w:val="00837F53"/>
    <w:rsid w:val="008D1750"/>
    <w:rsid w:val="008D7800"/>
    <w:rsid w:val="008E0764"/>
    <w:rsid w:val="008E2910"/>
    <w:rsid w:val="008E4913"/>
    <w:rsid w:val="008E6C0C"/>
    <w:rsid w:val="00900464"/>
    <w:rsid w:val="0090100E"/>
    <w:rsid w:val="00912904"/>
    <w:rsid w:val="0093767E"/>
    <w:rsid w:val="00947816"/>
    <w:rsid w:val="00972A02"/>
    <w:rsid w:val="0099517C"/>
    <w:rsid w:val="009A0937"/>
    <w:rsid w:val="009B2ECD"/>
    <w:rsid w:val="009B7914"/>
    <w:rsid w:val="009D6239"/>
    <w:rsid w:val="009F430B"/>
    <w:rsid w:val="00A160B2"/>
    <w:rsid w:val="00A360D6"/>
    <w:rsid w:val="00A566E7"/>
    <w:rsid w:val="00A940D3"/>
    <w:rsid w:val="00A96FCA"/>
    <w:rsid w:val="00AA4BE8"/>
    <w:rsid w:val="00AA5187"/>
    <w:rsid w:val="00AC0AAB"/>
    <w:rsid w:val="00AC7BA9"/>
    <w:rsid w:val="00B0425E"/>
    <w:rsid w:val="00B65B5A"/>
    <w:rsid w:val="00B900E2"/>
    <w:rsid w:val="00B906E8"/>
    <w:rsid w:val="00B9118E"/>
    <w:rsid w:val="00BD6115"/>
    <w:rsid w:val="00BD684A"/>
    <w:rsid w:val="00BE75CB"/>
    <w:rsid w:val="00BF4BCB"/>
    <w:rsid w:val="00C175FB"/>
    <w:rsid w:val="00C32724"/>
    <w:rsid w:val="00C32DAE"/>
    <w:rsid w:val="00C40E24"/>
    <w:rsid w:val="00C55540"/>
    <w:rsid w:val="00C55790"/>
    <w:rsid w:val="00C61B80"/>
    <w:rsid w:val="00C92D9A"/>
    <w:rsid w:val="00C96EF5"/>
    <w:rsid w:val="00CD671A"/>
    <w:rsid w:val="00CE4DD2"/>
    <w:rsid w:val="00D25064"/>
    <w:rsid w:val="00D32B51"/>
    <w:rsid w:val="00D33D75"/>
    <w:rsid w:val="00D34668"/>
    <w:rsid w:val="00D3740E"/>
    <w:rsid w:val="00D40335"/>
    <w:rsid w:val="00D76680"/>
    <w:rsid w:val="00D82F57"/>
    <w:rsid w:val="00D841A5"/>
    <w:rsid w:val="00D914D2"/>
    <w:rsid w:val="00DA25DB"/>
    <w:rsid w:val="00DB0791"/>
    <w:rsid w:val="00DD0045"/>
    <w:rsid w:val="00DD4251"/>
    <w:rsid w:val="00DD6270"/>
    <w:rsid w:val="00E02B50"/>
    <w:rsid w:val="00E03F11"/>
    <w:rsid w:val="00E06DC8"/>
    <w:rsid w:val="00E220B5"/>
    <w:rsid w:val="00E33D93"/>
    <w:rsid w:val="00E609EF"/>
    <w:rsid w:val="00E76ED9"/>
    <w:rsid w:val="00E8515B"/>
    <w:rsid w:val="00E90AFF"/>
    <w:rsid w:val="00EF2F91"/>
    <w:rsid w:val="00F13423"/>
    <w:rsid w:val="00F33EE3"/>
    <w:rsid w:val="00F4213B"/>
    <w:rsid w:val="00F558A6"/>
    <w:rsid w:val="00F849ED"/>
    <w:rsid w:val="00F92398"/>
    <w:rsid w:val="00F93553"/>
    <w:rsid w:val="00FD31A0"/>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1366</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8640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7</cp:revision>
  <cp:lastPrinted>2007-07-12T09:53:00Z</cp:lastPrinted>
  <dcterms:created xsi:type="dcterms:W3CDTF">2021-02-17T13:17:00Z</dcterms:created>
  <dcterms:modified xsi:type="dcterms:W3CDTF">2021-02-23T09:33:00Z</dcterms:modified>
</cp:coreProperties>
</file>